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94" w:type="dxa"/>
          <w:left w:w="794" w:type="dxa"/>
          <w:bottom w:w="794" w:type="dxa"/>
          <w:right w:w="794" w:type="dxa"/>
        </w:tblCellMar>
      </w:tblPr>
      <w:tblGrid>
        <w:gridCol w:w="9638"/>
      </w:tblGrid>
      <w:tr>
        <w:trPr>
          <w:trHeight w:val="8504" w:hRule="exact"/>
        </w:trPr>
        <w:tc>
          <w:tcPr>
            <w:tcW w:type="dxa" w:w="9638"/>
            <w:shd w:val="clear" w:color="auto" w:fill="003459"/>
          </w:tcPr>
          <w:p>
            <w:pPr>
              <w:keepNext w:val="0"/>
              <w:spacing w:before="0" w:after="960" w:line="360" w:lineRule="auto"/>
              <w:ind w:left="-154"/>
            </w:pPr>
            <w:r>
              <w:drawing>
                <wp:inline xmlns:a="http://schemas.openxmlformats.org/drawingml/2006/main" xmlns:pic="http://schemas.openxmlformats.org/drawingml/2006/picture">
                  <wp:extent cx="1714937" cy="69501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oprix-logo-reverse-w1024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937" cy="6950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spacing w:before="0" w:after="80" w:line="276" w:lineRule="auto"/>
            </w:pPr>
            <w:r>
              <w:rPr>
                <w:rFonts w:ascii="Montserrat" w:hAnsi="Montserrat" w:cs="Montserrat" w:eastAsia="Noto Sans SC"/>
                <w:b/>
                <w:color w:val="FFFFFF"/>
                <w:sz w:val="56"/>
              </w:rPr>
              <w:t>报告标题</w:t>
            </w:r>
          </w:p>
          <w:p>
            <w:pPr>
              <w:keepNext w:val="0"/>
              <w:spacing w:before="0" w:after="720" w:line="336" w:lineRule="auto"/>
            </w:pPr>
            <w:r>
              <w:rPr>
                <w:rFonts w:ascii="Montserrat" w:hAnsi="Montserrat" w:cs="Montserrat" w:eastAsia="Noto Sans SC"/>
                <w:color w:val="B0CBE2"/>
                <w:sz w:val="28"/>
              </w:rPr>
              <w:t>副标题 · 一句话说明报告范围</w:t>
            </w:r>
          </w:p>
          <w:p>
            <w:pPr>
              <w:keepNext w:val="0"/>
              <w:spacing w:before="0" w:after="0" w:line="336" w:lineRule="auto"/>
            </w:pPr>
            <w:r>
              <w:rPr>
                <w:rFonts w:ascii="Montserrat" w:hAnsi="Montserrat" w:cs="Montserrat" w:eastAsia="Noto Sans SC"/>
                <w:color w:val="B0CBE2"/>
                <w:sz w:val="20"/>
              </w:rPr>
              <w:t>2026-09-22   ·   版本 [x.y]   ·   作者 / 部门</w:t>
            </w:r>
          </w:p>
        </w:tc>
      </w:tr>
    </w:tbl>
    <w:p>
      <w:pPr>
        <w:keepNext w:val="0"/>
        <w:spacing w:before="480" w:after="0" w:line="360" w:lineRule="auto"/>
      </w:pPr>
      <w:r>
        <w:rPr>
          <w:rFonts w:ascii="Montserrat" w:hAnsi="Montserrat" w:cs="Montserrat" w:eastAsia="Noto Sans SC"/>
          <w:color w:val="6E6860"/>
          <w:sz w:val="20"/>
        </w:rPr>
        <w:t>Croprix · Greenhouse intelligence &amp; robotics</w:t>
      </w:r>
    </w:p>
    <w:p>
      <w:r>
        <w:rPr>
          <w:rFonts w:ascii="Montserrat" w:hAnsi="Montserrat" w:cs="Montserrat" w:eastAsia="Noto Sans SC"/>
          <w:color w:val="6E6860"/>
          <w:sz w:val="20"/>
        </w:rPr>
        <w:t>croprix.com   ·   hi@croprix.com</w:t>
      </w:r>
    </w:p>
    <w:p>
      <w:r>
        <w:br w:type="page"/>
      </w:r>
    </w:p>
    <w:p>
      <w:pPr>
        <w:pStyle w:val="Heading1"/>
      </w:pPr>
      <w:r>
        <w:t>目录</w:t>
      </w:r>
    </w:p>
    <w:p>
      <w:r>
        <w:fldChar w:fldCharType="begin"/>
      </w:r>
      <w:r>
        <w:instrText xml:space="preserve"> TOC \o "1-3" \h \z \u </w:instrText>
      </w:r>
      <w:r>
        <w:fldChar w:fldCharType="separate"/>
      </w:r>
      <w:r>
        <w:rPr>
          <w:rFonts w:ascii="Montserrat" w:hAnsi="Montserrat" w:cs="Montserrat" w:eastAsia="Noto Sans SC"/>
          <w:color w:val="6E6860"/>
          <w:sz w:val="20"/>
        </w:rPr>
        <w:t>目录域：在 Word 中右键 → 更新域（Update Field），或 引用 → 更新目录。</w:t>
      </w:r>
      <w:r>
        <w:fldChar w:fldCharType="end"/>
      </w:r>
    </w:p>
    <w:p>
      <w:r>
        <w:br w:type="page"/>
      </w:r>
    </w:p>
    <w:p>
      <w:pPr>
        <w:pStyle w:val="Heading1"/>
      </w:pPr>
      <w:r>
        <w:t>样式说明</w:t>
      </w:r>
    </w:p>
    <w:p>
      <w:pPr>
        <w:pStyle w:val="BodyCJK"/>
      </w:pPr>
      <w:r>
        <w:t>本页展示模板里的每种样式。写报告时只用「样式」面板套用，不手动改字号、颜色或字体；需要新样式时先改品牌决策记录，再改本模板。</w:t>
      </w:r>
    </w:p>
    <w:p>
      <w:pPr>
        <w:pStyle w:val="Heading2"/>
      </w:pPr>
      <w:r>
        <w:t>标题层级</w:t>
      </w:r>
    </w:p>
    <w:p>
      <w:pPr>
        <w:pStyle w:val="BodyCJK"/>
      </w:pPr>
      <w:r>
        <w:t>Heading 1 用于章（20 pt Navy 粗体，段前 24 pt）；Heading 2 用于节（15 pt）；Heading 3 用于小节（12 pt）。拉丁标题字重 700；中文标题按品牌规范用 600 字重的字体实例，Word 里以「粗体」表达。标题不加编号时用陈述短语，不用问号和感叹号。</w:t>
      </w:r>
    </w:p>
    <w:p>
      <w:pPr>
        <w:pStyle w:val="Heading3"/>
      </w:pPr>
      <w:r>
        <w:t>三级标题示例</w:t>
      </w:r>
    </w:p>
    <w:p>
      <w:pPr>
        <w:pStyle w:val="BodyCJK"/>
      </w:pPr>
      <w:r>
        <w:t>正文 Normal：Montserrat 11 pt，行距 1.5，段后 8 pt，颜色 Sand-950。中文段落套「Body CJK」样式：同字号、行距 1.75，字体 Noto Sans SC；中西文之间留一个空格，标点用全角，数字与单位之间留窄空格（1.6 m）。</w:t>
      </w:r>
    </w:p>
    <w:p>
      <w:pPr>
        <w:pStyle w:val="Heading2"/>
      </w:pPr>
      <w:r>
        <w:t>列表</w:t>
      </w:r>
    </w:p>
    <w:p>
      <w:pPr>
        <w:pStyle w:val="ListBullet"/>
      </w:pPr>
      <w:r>
        <w:t>授粉、巡检、采摘、运输、植保、打叶、落蔓机器人各承担一道作业。</w:t>
      </w:r>
    </w:p>
    <w:p>
      <w:pPr>
        <w:pStyle w:val="ListBullet"/>
      </w:pPr>
      <w:r>
        <w:t>环境调控与机器人任务调度由同一套计划统筹。</w:t>
      </w:r>
    </w:p>
    <w:p>
      <w:pPr>
        <w:pStyle w:val="ListBullet"/>
      </w:pPr>
      <w:r>
        <w:t>列表项用 List Bullet；有顺序时用 List Number。</w:t>
      </w:r>
    </w:p>
    <w:p>
      <w:pPr>
        <w:pStyle w:val="ListNumber"/>
      </w:pPr>
      <w:r>
        <w:t>装配</w:t>
      </w:r>
    </w:p>
    <w:p>
      <w:pPr>
        <w:pStyle w:val="ListNumber"/>
      </w:pPr>
      <w:r>
        <w:t>安装调试</w:t>
      </w:r>
    </w:p>
    <w:p>
      <w:pPr>
        <w:pStyle w:val="ListNumber"/>
      </w:pPr>
      <w:r>
        <w:t>日常技术支持</w:t>
      </w:r>
    </w:p>
    <w:p>
      <w:pPr>
        <w:pStyle w:val="Heading2"/>
      </w:pPr>
      <w:r>
        <w:t>引用</w:t>
      </w:r>
    </w:p>
    <w:p>
      <w:pPr>
        <w:pStyle w:val="Quote"/>
        <w:pBdr>
          <w:left w:val="single" w:sz="12" w:space="12" w:color="003459"/>
        </w:pBdr>
      </w:pPr>
      <w:r>
        <w:t>从温室现场出发。把技术带到作物身边。</w:t>
      </w:r>
    </w:p>
    <w:p>
      <w:pPr>
        <w:pStyle w:val="BodyCJK"/>
      </w:pPr>
      <w:r>
        <w:t>Quote 样式：12 pt Navy、左缩进 8 mm、左侧 1.5 pt Navy 竖线；不用斜体。</w:t>
      </w:r>
    </w:p>
    <w:p>
      <w:pPr>
        <w:pStyle w:val="Heading2"/>
      </w:pPr>
      <w:r>
        <w:t>表格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single" w:sz="2" w:space="0" w:color="E3DBD3"/>
          <w:right w:val="nil"/>
          <w:insideH w:val="single" w:sz="2" w:space="0" w:color="E3DBD3"/>
          <w:insideV w:val="nil"/>
        </w:tblBorders>
        <w:tblCellMar>
          <w:top w:w="85" w:type="dxa"/>
          <w:left w:w="113" w:type="dxa"/>
          <w:bottom w:w="85" w:type="dxa"/>
          <w:right w:w="113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003459"/>
          </w:tcPr>
          <w:p>
            <w:pPr>
              <w:keepNext w:val="0"/>
              <w:spacing w:before="0" w:after="0" w:line="312" w:lineRule="auto"/>
            </w:pPr>
            <w:r>
              <w:rPr>
                <w:rFonts w:ascii="Montserrat" w:hAnsi="Montserrat" w:cs="Montserrat" w:eastAsia="Noto Sans SC"/>
                <w:b/>
                <w:color w:val="FFFFFF"/>
                <w:sz w:val="20"/>
              </w:rPr>
              <w:t>机器人</w:t>
            </w:r>
          </w:p>
        </w:tc>
        <w:tc>
          <w:tcPr>
            <w:tcW w:type="dxa" w:w="3213"/>
            <w:shd w:val="clear" w:color="auto" w:fill="003459"/>
          </w:tcPr>
          <w:p>
            <w:pPr>
              <w:keepNext w:val="0"/>
              <w:spacing w:before="0" w:after="0" w:line="312" w:lineRule="auto"/>
            </w:pPr>
            <w:r>
              <w:rPr>
                <w:rFonts w:ascii="Montserrat" w:hAnsi="Montserrat" w:cs="Montserrat" w:eastAsia="Noto Sans SC"/>
                <w:b/>
                <w:color w:val="FFFFFF"/>
                <w:sz w:val="20"/>
              </w:rPr>
              <w:t>作业</w:t>
            </w:r>
          </w:p>
        </w:tc>
        <w:tc>
          <w:tcPr>
            <w:tcW w:type="dxa" w:w="3213"/>
            <w:shd w:val="clear" w:color="auto" w:fill="003459"/>
          </w:tcPr>
          <w:p>
            <w:pPr>
              <w:keepNext w:val="0"/>
              <w:spacing w:before="0" w:after="0" w:line="312" w:lineRule="auto"/>
            </w:pPr>
            <w:r>
              <w:rPr>
                <w:rFonts w:ascii="Montserrat" w:hAnsi="Montserrat" w:cs="Montserrat" w:eastAsia="Noto Sans SC"/>
                <w:b/>
                <w:color w:val="FFFFFF"/>
                <w:sz w:val="20"/>
              </w:rPr>
              <w:t>作物场景</w:t>
            </w:r>
          </w:p>
        </w:tc>
      </w:tr>
      <w:tr>
        <w:tc>
          <w:tcPr>
            <w:tcW w:type="dxa" w:w="3213"/>
            <w:shd w:val="clear" w:color="auto" w:fill="F3EBE3"/>
          </w:tcPr>
          <w:p>
            <w:pPr>
              <w:keepNext w:val="0"/>
              <w:spacing w:before="0" w:after="0" w:line="312" w:lineRule="auto"/>
            </w:pPr>
            <w:r>
              <w:rPr>
                <w:rFonts w:ascii="Montserrat" w:hAnsi="Montserrat" w:cs="Montserrat" w:eastAsia="Noto Sans SC"/>
                <w:color w:val="28231D"/>
                <w:sz w:val="20"/>
              </w:rPr>
              <w:t>授粉</w:t>
            </w:r>
          </w:p>
        </w:tc>
        <w:tc>
          <w:tcPr>
            <w:tcW w:type="dxa" w:w="3213"/>
            <w:shd w:val="clear" w:color="auto" w:fill="F3EBE3"/>
          </w:tcPr>
          <w:p>
            <w:pPr>
              <w:keepNext w:val="0"/>
              <w:spacing w:before="0" w:after="0" w:line="312" w:lineRule="auto"/>
            </w:pPr>
            <w:r>
              <w:rPr>
                <w:rFonts w:ascii="Montserrat" w:hAnsi="Montserrat" w:cs="Montserrat" w:eastAsia="Noto Sans SC"/>
                <w:color w:val="28231D"/>
                <w:sz w:val="20"/>
              </w:rPr>
              <w:t>脉冲气流授粉</w:t>
            </w:r>
          </w:p>
        </w:tc>
        <w:tc>
          <w:tcPr>
            <w:tcW w:type="dxa" w:w="3213"/>
            <w:shd w:val="clear" w:color="auto" w:fill="F3EBE3"/>
          </w:tcPr>
          <w:p>
            <w:pPr>
              <w:keepNext w:val="0"/>
              <w:spacing w:before="0" w:after="0" w:line="312" w:lineRule="auto"/>
            </w:pPr>
            <w:r>
              <w:rPr>
                <w:rFonts w:ascii="Montserrat" w:hAnsi="Montserrat" w:cs="Montserrat" w:eastAsia="Noto Sans SC"/>
                <w:color w:val="28231D"/>
                <w:sz w:val="20"/>
              </w:rPr>
              <w:t>温室番茄</w:t>
            </w:r>
          </w:p>
        </w:tc>
      </w:tr>
      <w:tr>
        <w:tc>
          <w:tcPr>
            <w:tcW w:type="dxa" w:w="3213"/>
          </w:tcPr>
          <w:p>
            <w:pPr>
              <w:keepNext w:val="0"/>
              <w:spacing w:before="0" w:after="0" w:line="312" w:lineRule="auto"/>
            </w:pPr>
            <w:r>
              <w:rPr>
                <w:rFonts w:ascii="Montserrat" w:hAnsi="Montserrat" w:cs="Montserrat" w:eastAsia="Noto Sans SC"/>
                <w:color w:val="28231D"/>
                <w:sz w:val="20"/>
              </w:rPr>
              <w:t>巡检</w:t>
            </w:r>
          </w:p>
        </w:tc>
        <w:tc>
          <w:tcPr>
            <w:tcW w:type="dxa" w:w="3213"/>
          </w:tcPr>
          <w:p>
            <w:pPr>
              <w:keepNext w:val="0"/>
              <w:spacing w:before="0" w:after="0" w:line="312" w:lineRule="auto"/>
            </w:pPr>
            <w:r>
              <w:rPr>
                <w:rFonts w:ascii="Montserrat" w:hAnsi="Montserrat" w:cs="Montserrat" w:eastAsia="Noto Sans SC"/>
                <w:color w:val="28231D"/>
                <w:sz w:val="20"/>
              </w:rPr>
              <w:t>采集作物与环境信息</w:t>
            </w:r>
          </w:p>
        </w:tc>
        <w:tc>
          <w:tcPr>
            <w:tcW w:type="dxa" w:w="3213"/>
          </w:tcPr>
          <w:p>
            <w:pPr>
              <w:keepNext w:val="0"/>
              <w:spacing w:before="0" w:after="0" w:line="312" w:lineRule="auto"/>
            </w:pPr>
            <w:r>
              <w:rPr>
                <w:rFonts w:ascii="Montserrat" w:hAnsi="Montserrat" w:cs="Montserrat" w:eastAsia="Noto Sans SC"/>
                <w:color w:val="28231D"/>
                <w:sz w:val="20"/>
              </w:rPr>
              <w:t>温室</w:t>
            </w:r>
          </w:p>
        </w:tc>
      </w:tr>
      <w:tr>
        <w:tc>
          <w:tcPr>
            <w:tcW w:type="dxa" w:w="3213"/>
            <w:shd w:val="clear" w:color="auto" w:fill="F3EBE3"/>
          </w:tcPr>
          <w:p>
            <w:pPr>
              <w:keepNext w:val="0"/>
              <w:spacing w:before="0" w:after="0" w:line="312" w:lineRule="auto"/>
            </w:pPr>
            <w:r>
              <w:rPr>
                <w:rFonts w:ascii="Montserrat" w:hAnsi="Montserrat" w:cs="Montserrat" w:eastAsia="Noto Sans SC"/>
                <w:color w:val="28231D"/>
                <w:sz w:val="20"/>
              </w:rPr>
              <w:t>采摘</w:t>
            </w:r>
          </w:p>
        </w:tc>
        <w:tc>
          <w:tcPr>
            <w:tcW w:type="dxa" w:w="3213"/>
            <w:shd w:val="clear" w:color="auto" w:fill="F3EBE3"/>
          </w:tcPr>
          <w:p>
            <w:pPr>
              <w:keepNext w:val="0"/>
              <w:spacing w:before="0" w:after="0" w:line="312" w:lineRule="auto"/>
            </w:pPr>
            <w:r>
              <w:rPr>
                <w:rFonts w:ascii="Montserrat" w:hAnsi="Montserrat" w:cs="Montserrat" w:eastAsia="Noto Sans SC"/>
                <w:color w:val="28231D"/>
                <w:sz w:val="20"/>
              </w:rPr>
              <w:t>识别、采收与放置</w:t>
            </w:r>
          </w:p>
        </w:tc>
        <w:tc>
          <w:tcPr>
            <w:tcW w:type="dxa" w:w="3213"/>
            <w:shd w:val="clear" w:color="auto" w:fill="F3EBE3"/>
          </w:tcPr>
          <w:p>
            <w:pPr>
              <w:keepNext w:val="0"/>
              <w:spacing w:before="0" w:after="0" w:line="312" w:lineRule="auto"/>
            </w:pPr>
            <w:r>
              <w:rPr>
                <w:rFonts w:ascii="Montserrat" w:hAnsi="Montserrat" w:cs="Montserrat" w:eastAsia="Noto Sans SC"/>
                <w:color w:val="28231D"/>
                <w:sz w:val="20"/>
              </w:rPr>
              <w:t>串收番茄</w:t>
            </w:r>
          </w:p>
        </w:tc>
      </w:tr>
      <w:tr>
        <w:tc>
          <w:tcPr>
            <w:tcW w:type="dxa" w:w="3213"/>
          </w:tcPr>
          <w:p>
            <w:pPr>
              <w:keepNext w:val="0"/>
              <w:spacing w:before="0" w:after="0" w:line="312" w:lineRule="auto"/>
            </w:pPr>
            <w:r>
              <w:rPr>
                <w:rFonts w:ascii="Montserrat" w:hAnsi="Montserrat" w:cs="Montserrat" w:eastAsia="Noto Sans SC"/>
                <w:color w:val="28231D"/>
                <w:sz w:val="20"/>
              </w:rPr>
              <w:t>运输</w:t>
            </w:r>
          </w:p>
        </w:tc>
        <w:tc>
          <w:tcPr>
            <w:tcW w:type="dxa" w:w="3213"/>
          </w:tcPr>
          <w:p>
            <w:pPr>
              <w:keepNext w:val="0"/>
              <w:spacing w:before="0" w:after="0" w:line="312" w:lineRule="auto"/>
            </w:pPr>
            <w:r>
              <w:rPr>
                <w:rFonts w:ascii="Montserrat" w:hAnsi="Montserrat" w:cs="Montserrat" w:eastAsia="Noto Sans SC"/>
                <w:color w:val="28231D"/>
                <w:sz w:val="20"/>
              </w:rPr>
              <w:t>运输果筐、物料与工具</w:t>
            </w:r>
          </w:p>
        </w:tc>
        <w:tc>
          <w:tcPr>
            <w:tcW w:type="dxa" w:w="3213"/>
          </w:tcPr>
          <w:p>
            <w:pPr>
              <w:keepNext w:val="0"/>
              <w:spacing w:before="0" w:after="0" w:line="312" w:lineRule="auto"/>
            </w:pPr>
            <w:r>
              <w:rPr>
                <w:rFonts w:ascii="Montserrat" w:hAnsi="Montserrat" w:cs="Montserrat" w:eastAsia="Noto Sans SC"/>
                <w:color w:val="28231D"/>
                <w:sz w:val="20"/>
              </w:rPr>
              <w:t>通道与管轨</w:t>
            </w:r>
          </w:p>
        </w:tc>
      </w:tr>
    </w:tbl>
    <w:p>
      <w:pPr>
        <w:pStyle w:val="Caption"/>
        <w:spacing w:before="120"/>
      </w:pPr>
      <w:r>
        <w:t>表 1 · 机器人与作业（Caption 样式：9 pt Sand-700，放在表格下方）</w:t>
      </w:r>
    </w:p>
    <w:p>
      <w:pPr>
        <w:pStyle w:val="Heading2"/>
      </w:pPr>
      <w:r>
        <w:t>图与图注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80000" cy="108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oprix-symbol-w51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图 1 · 图注放在图下方，Caption 样式；照片用真实温室、行间视角，不加滤镜。</w:t>
      </w:r>
    </w:p>
    <w:p>
      <w:pPr>
        <w:pStyle w:val="Heading2"/>
      </w:pPr>
      <w:r>
        <w:t>页眉页脚</w:t>
      </w:r>
    </w:p>
    <w:p>
      <w:pPr>
        <w:pStyle w:val="BodyCJK"/>
      </w:pPr>
      <w:r>
        <w:t>封面无页眉页脚。内页页眉左侧「Croprix」、右侧报告标题，下方 Sand-200 细线；页脚左侧网址、中间页码、右侧密级。这些由节设置控制，不要在正文里手动画线。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17" w:left="1134" w:header="680" w:footer="68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819" w:val="center"/>
        <w:tab w:pos="9638" w:val="right"/>
      </w:tabs>
    </w:pPr>
    <w:r>
      <w:rPr>
        <w:rFonts w:ascii="Montserrat" w:hAnsi="Montserrat" w:cs="Montserrat" w:eastAsia="Noto Sans SC"/>
        <w:color w:val="6E6860"/>
        <w:sz w:val="14"/>
      </w:rPr>
      <w:t>croprix.com</w:t>
      <w:tab/>
      <w:t>机密 · Confidential</w:t>
      <w:tab/>
    </w:r>
    <w:r>
      <w:fldChar w:fldCharType="begin"/>
    </w:r>
    <w:r>
      <w:instrText xml:space="preserve"> PAGE </w:instrText>
    </w:r>
    <w:r>
      <w:fldChar w:fldCharType="separate"/>
    </w:r>
    <w:r>
      <w:rPr>
        <w:rFonts w:ascii="Montserrat" w:hAnsi="Montserrat" w:cs="Montserrat" w:eastAsia="Noto Sans SC"/>
        <w:color w:val="6E6860"/>
        <w:sz w:val="14"/>
      </w:rP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tabs>
        <w:tab w:pos="9638" w:val="right"/>
      </w:tabs>
      <w:spacing w:before="0" w:after="0" w:line="288" w:lineRule="auto"/>
      <w:pBdr>
        <w:bottom w:val="single" w:sz="2" w:space="4" w:color="E3DBD3"/>
      </w:pBdr>
    </w:pPr>
    <w:r>
      <w:rPr>
        <w:rFonts w:ascii="Montserrat" w:hAnsi="Montserrat" w:cs="Montserrat" w:eastAsia="Noto Sans SC"/>
        <w:b/>
        <w:color w:val="003459"/>
        <w:sz w:val="15"/>
      </w:rPr>
      <w:t>Croprix</w:t>
    </w:r>
    <w:r>
      <w:rPr>
        <w:rFonts w:ascii="Montserrat" w:hAnsi="Montserrat" w:cs="Montserrat" w:eastAsia="Noto Sans SC"/>
        <w:color w:val="6E6860"/>
        <w:sz w:val="15"/>
      </w:rPr>
      <w:tab/>
      <w:t>报告标题 · Report title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ascii="Montserrat" w:hAnsi="Montserrat" w:cs="Montserrat" w:eastAsia="Noto Sans SC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before="0" w:after="160" w:line="360" w:lineRule="auto"/>
    </w:pPr>
    <w:rPr>
      <w:rFonts w:ascii="Montserrat" w:hAnsi="Montserrat" w:cs="Montserrat" w:eastAsia="Noto Sans SC"/>
      <w:b w:val="0"/>
      <w:i w:val="0"/>
      <w:color w:val="28231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keepNext w:val="0"/>
      <w:tabs>
        <w:tab w:val="center" w:pos="4680"/>
        <w:tab w:val="right" w:pos="9360"/>
      </w:tabs>
      <w:spacing w:after="0" w:line="288" w:lineRule="auto" w:before="0"/>
    </w:pPr>
    <w:rPr>
      <w:rFonts w:ascii="Montserrat" w:hAnsi="Montserrat" w:cs="Montserrat" w:eastAsia="Noto Sans SC"/>
      <w:b w:val="0"/>
      <w:i w:val="0"/>
      <w:color w:val="6E6860"/>
      <w:sz w:val="15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keepNext w:val="0"/>
      <w:tabs>
        <w:tab w:val="center" w:pos="4680"/>
        <w:tab w:val="right" w:pos="9360"/>
      </w:tabs>
      <w:spacing w:after="0" w:line="288" w:lineRule="auto" w:before="0"/>
    </w:pPr>
    <w:rPr>
      <w:rFonts w:ascii="Montserrat" w:hAnsi="Montserrat" w:cs="Montserrat" w:eastAsia="Noto Sans SC"/>
      <w:b w:val="0"/>
      <w:i w:val="0"/>
      <w:color w:val="6E6860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 w:line="312" w:lineRule="auto"/>
      <w:outlineLvl w:val="0"/>
    </w:pPr>
    <w:rPr>
      <w:rFonts w:asciiTheme="majorHAnsi" w:eastAsiaTheme="majorEastAsia" w:hAnsiTheme="majorHAnsi" w:cstheme="majorBidi" w:ascii="Montserrat" w:hAnsi="Montserrat" w:cs="Montserrat" w:eastAsia="Noto Sans SC"/>
      <w:b/>
      <w:bCs/>
      <w:i w:val="0"/>
      <w:color w:val="003459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 w:after="120" w:line="312" w:lineRule="auto"/>
      <w:outlineLvl w:val="1"/>
    </w:pPr>
    <w:rPr>
      <w:rFonts w:asciiTheme="majorHAnsi" w:eastAsiaTheme="majorEastAsia" w:hAnsiTheme="majorHAnsi" w:cstheme="majorBidi" w:ascii="Montserrat" w:hAnsi="Montserrat" w:cs="Montserrat" w:eastAsia="Noto Sans SC"/>
      <w:b/>
      <w:bCs/>
      <w:i w:val="0"/>
      <w:color w:val="003459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 w:line="312" w:lineRule="auto"/>
      <w:outlineLvl w:val="2"/>
    </w:pPr>
    <w:rPr>
      <w:rFonts w:asciiTheme="majorHAnsi" w:eastAsiaTheme="majorEastAsia" w:hAnsiTheme="majorHAnsi" w:cstheme="majorBidi" w:ascii="Montserrat" w:hAnsi="Montserrat" w:cs="Montserrat" w:eastAsia="Noto Sans SC"/>
      <w:b/>
      <w:bCs/>
      <w:i w:val="0"/>
      <w:color w:val="003459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64" w:lineRule="auto" w:before="0"/>
      <w:contextualSpacing/>
    </w:pPr>
    <w:rPr>
      <w:rFonts w:asciiTheme="majorHAnsi" w:eastAsiaTheme="majorEastAsia" w:hAnsiTheme="majorHAnsi" w:cstheme="majorBidi" w:ascii="Montserrat" w:hAnsi="Montserrat" w:cs="Montserrat" w:eastAsia="Noto Sans SC"/>
      <w:b/>
      <w:i w:val="0"/>
      <w:color w:val="003459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 w:val="0"/>
      <w:numPr>
        <w:ilvl w:val="1"/>
      </w:numPr>
      <w:spacing w:before="0" w:after="240" w:line="360" w:lineRule="auto"/>
    </w:pPr>
    <w:rPr>
      <w:rFonts w:asciiTheme="majorHAnsi" w:eastAsiaTheme="majorEastAsia" w:hAnsiTheme="majorHAnsi" w:cstheme="majorBidi" w:ascii="Montserrat" w:hAnsi="Montserrat" w:cs="Montserrat" w:eastAsia="Noto Sans SC"/>
      <w:b w:val="0"/>
      <w:i w:val="0"/>
      <w:iCs/>
      <w:color w:val="6E686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Next w:val="0"/>
      <w:numPr>
        <w:numId w:val="1"/>
      </w:numPr>
      <w:spacing w:before="0" w:after="80" w:line="360" w:lineRule="auto"/>
      <w:contextualSpacing/>
    </w:pPr>
    <w:rPr>
      <w:rFonts w:ascii="Montserrat" w:hAnsi="Montserrat" w:cs="Montserrat" w:eastAsia="Noto Sans SC"/>
      <w:b w:val="0"/>
      <w:i w:val="0"/>
      <w:color w:val="28231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keepNext w:val="0"/>
      <w:numPr>
        <w:numId w:val="2"/>
      </w:numPr>
      <w:spacing w:before="0" w:after="80" w:line="360" w:lineRule="auto"/>
      <w:contextualSpacing/>
    </w:pPr>
    <w:rPr>
      <w:rFonts w:ascii="Montserrat" w:hAnsi="Montserrat" w:cs="Montserrat" w:eastAsia="Noto Sans SC"/>
      <w:b w:val="0"/>
      <w:i w:val="0"/>
      <w:color w:val="28231D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keepNext w:val="0"/>
      <w:numPr>
        <w:numId w:val="5"/>
      </w:numPr>
      <w:spacing w:before="0" w:after="80" w:line="360" w:lineRule="auto"/>
      <w:contextualSpacing/>
    </w:pPr>
    <w:rPr>
      <w:rFonts w:ascii="Montserrat" w:hAnsi="Montserrat" w:cs="Montserrat" w:eastAsia="Noto Sans SC"/>
      <w:b w:val="0"/>
      <w:i w:val="0"/>
      <w:color w:val="28231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keepNext w:val="0"/>
      <w:numPr>
        <w:numId w:val="6"/>
      </w:numPr>
      <w:spacing w:before="0" w:after="80" w:line="360" w:lineRule="auto"/>
      <w:contextualSpacing/>
    </w:pPr>
    <w:rPr>
      <w:rFonts w:ascii="Montserrat" w:hAnsi="Montserrat" w:cs="Montserrat" w:eastAsia="Noto Sans SC"/>
      <w:b w:val="0"/>
      <w:i w:val="0"/>
      <w:color w:val="28231D"/>
      <w:sz w:val="22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keepNext w:val="0"/>
      <w:spacing w:before="160" w:after="240" w:line="360" w:lineRule="auto"/>
      <w:ind w:left="454"/>
      <w:jc w:val="left"/>
    </w:pPr>
    <w:rPr>
      <w:rFonts w:ascii="Montserrat" w:hAnsi="Montserrat" w:cs="Montserrat" w:eastAsia="Noto Sans SC"/>
      <w:b w:val="0"/>
      <w:i w:val="0"/>
      <w:iCs/>
      <w:color w:val="003459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spacing w:line="360" w:lineRule="auto" w:before="80" w:after="240"/>
    </w:pPr>
    <w:rPr>
      <w:rFonts w:ascii="Montserrat" w:hAnsi="Montserrat" w:cs="Montserrat" w:eastAsia="Noto Sans SC"/>
      <w:b w:val="0"/>
      <w:bCs/>
      <w:i w:val="0"/>
      <w:color w:val="6E686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Montserrat" w:hAnsi="Montserrat" w:cs="Montserrat" w:eastAsia="Noto Sans SC"/>
      <w:b/>
      <w:i w:val="0"/>
      <w:color w:val="003459"/>
      <w:sz w:val="3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JK">
    <w:name w:val="Body CJK"/>
    <w:basedOn w:val="Normal"/>
    <w:qFormat/>
    <w:pPr>
      <w:keepNext w:val="0"/>
      <w:spacing w:before="0" w:after="160" w:line="42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oprix">
  <a:themeElements>
    <a:clrScheme name="Croprix">
      <a:dk1>
        <a:srgbClr val="28231D"/>
      </a:dk1>
      <a:lt1>
        <a:srgbClr val="FDF5ED"/>
      </a:lt1>
      <a:dk2>
        <a:srgbClr val="003459"/>
      </a:dk2>
      <a:lt2>
        <a:srgbClr val="F3EBE3"/>
      </a:lt2>
      <a:accent1>
        <a:srgbClr val="0B6EAB"/>
      </a:accent1>
      <a:accent2>
        <a:srgbClr val="487900"/>
      </a:accent2>
      <a:accent3>
        <a:srgbClr val="AB7304"/>
      </a:accent3>
      <a:accent4>
        <a:srgbClr val="6285A1"/>
      </a:accent4>
      <a:accent5>
        <a:srgbClr val="A6744A"/>
      </a:accent5>
      <a:accent6>
        <a:srgbClr val="CE514D"/>
      </a:accent6>
      <a:hlink>
        <a:srgbClr val="0B6EAB"/>
      </a:hlink>
      <a:folHlink>
        <a:srgbClr val="005688"/>
      </a:folHlink>
    </a:clrScheme>
    <a:fontScheme name="Croprix">
      <a:majorFont>
        <a:latin typeface="Montserrat"/>
        <a:ea typeface="Noto Sans SC"/>
        <a:cs typeface="Montserrat"/>
        <a:font script="Hans" typeface="Noto Sans SC"/>
        <a:font script="Hant" typeface="Noto Sans TC"/>
        <a:font script="Jpan" typeface="Noto Sans JP"/>
        <a:font script="Hang" typeface="Noto Sans KR"/>
        <a:font script="Arab" typeface="Noto Sans Arabic"/>
        <a:font script="Deva" typeface="Noto Sans Devanagari"/>
        <a:font script="Thai" typeface="Noto Sans Thai"/>
      </a:majorFont>
      <a:minorFont>
        <a:latin typeface="Montserrat"/>
        <a:ea typeface="Noto Sans SC"/>
        <a:cs typeface="Montserrat"/>
        <a:font script="Hans" typeface="Noto Sans SC"/>
        <a:font script="Hant" typeface="Noto Sans TC"/>
        <a:font script="Jpan" typeface="Noto Sans JP"/>
        <a:font script="Hang" typeface="Noto Sans KR"/>
        <a:font script="Arab" typeface="Noto Sans Arabic"/>
        <a:font script="Deva" typeface="Noto Sans Devanagari"/>
        <a:font script="Thai" typeface="Noto Sans Thai"/>
      </a:minorFont>
    </a:fontScheme>
    <a:fmtScheme name="Croprix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solidFill>
            <a:schemeClr val="phClr"/>
          </a:solidFill>
        </a:ln>
        <a:ln w="12700">
          <a:solidFill>
            <a:schemeClr val="phClr"/>
          </a:solidFill>
        </a:ln>
        <a:ln w="1905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